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 w:rsidP="009E5F06">
      <w:pPr>
        <w:pStyle w:val="Tekstpodstawowy"/>
        <w:spacing w:before="76"/>
        <w:ind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>O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9E5F06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9E5F06" w:rsidRDefault="009E5F06" w:rsidP="009E5F06">
      <w:pPr>
        <w:pStyle w:val="Tekstpodstawowy"/>
        <w:spacing w:before="76"/>
        <w:ind w:right="75"/>
        <w:jc w:val="center"/>
      </w:pP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FA570D">
        <w:rPr>
          <w:b/>
          <w:color w:val="0F0F0F"/>
          <w:sz w:val="24"/>
          <w:szCs w:val="24"/>
          <w:u w:val="single" w:color="232328"/>
        </w:rPr>
        <w:t>Neurologicznego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 w:rsidR="00FA570D"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 w:rsidP="009E5F06">
      <w:pPr>
        <w:spacing w:before="252" w:line="276" w:lineRule="auto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9E5F06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9E5F06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FA570D">
        <w:rPr>
          <w:b/>
          <w:i/>
          <w:iCs/>
        </w:rPr>
        <w:t>Neurologicznego</w:t>
      </w:r>
      <w:r w:rsidR="00184E6E">
        <w:rPr>
          <w:b/>
          <w:i/>
          <w:iCs/>
        </w:rPr>
        <w:t xml:space="preserve"> </w:t>
      </w:r>
      <w:r w:rsidRPr="00F66D0D">
        <w:rPr>
          <w:b/>
          <w:i/>
          <w:iCs/>
        </w:rPr>
        <w:t xml:space="preserve">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7E6BEA" w:rsidRPr="007E6BEA">
        <w:rPr>
          <w:b/>
        </w:rPr>
        <w:t>12</w:t>
      </w:r>
      <w:r w:rsidR="00EE2FD9" w:rsidRPr="007E6BEA">
        <w:rPr>
          <w:b/>
        </w:rPr>
        <w:t xml:space="preserve"> </w:t>
      </w:r>
      <w:r w:rsidR="00EE2FD9" w:rsidRPr="002C7277">
        <w:rPr>
          <w:b/>
        </w:rPr>
        <w:t xml:space="preserve">marca 2024 </w:t>
      </w:r>
      <w:r w:rsidRPr="002C7277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 w:rsidP="009E5F06">
      <w:pPr>
        <w:widowControl/>
        <w:spacing w:line="276" w:lineRule="auto"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F66D0D">
        <w:rPr>
          <w:bCs/>
          <w:sz w:val="24"/>
          <w:szCs w:val="24"/>
          <w:lang w:eastAsia="pl-PL"/>
        </w:rPr>
        <w:t>marzec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0A56EE">
        <w:rPr>
          <w:spacing w:val="17"/>
          <w:w w:val="105"/>
          <w:sz w:val="24"/>
          <w:szCs w:val="24"/>
        </w:rPr>
        <w:t>2</w:t>
      </w:r>
      <w:r w:rsidR="001343A5">
        <w:rPr>
          <w:spacing w:val="17"/>
          <w:w w:val="105"/>
          <w:sz w:val="24"/>
          <w:szCs w:val="24"/>
        </w:rPr>
        <w:t>9</w:t>
      </w:r>
      <w:r>
        <w:rPr>
          <w:spacing w:val="17"/>
          <w:w w:val="105"/>
          <w:sz w:val="24"/>
          <w:szCs w:val="24"/>
        </w:rPr>
        <w:t xml:space="preserve"> </w:t>
      </w:r>
      <w:r w:rsidR="00C25ED4">
        <w:rPr>
          <w:spacing w:val="17"/>
          <w:w w:val="105"/>
          <w:sz w:val="24"/>
          <w:szCs w:val="24"/>
        </w:rPr>
        <w:t>lutego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184E6E"/>
    <w:rsid w:val="0022723B"/>
    <w:rsid w:val="00264C8C"/>
    <w:rsid w:val="002A0605"/>
    <w:rsid w:val="002C7277"/>
    <w:rsid w:val="003A071D"/>
    <w:rsid w:val="00592CDA"/>
    <w:rsid w:val="007E6BEA"/>
    <w:rsid w:val="00912BCC"/>
    <w:rsid w:val="009E5F06"/>
    <w:rsid w:val="00C25ED4"/>
    <w:rsid w:val="00EE2FD9"/>
    <w:rsid w:val="00F424EC"/>
    <w:rsid w:val="00F66D0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33B6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19</cp:revision>
  <cp:lastPrinted>2024-01-29T13:10:00Z</cp:lastPrinted>
  <dcterms:created xsi:type="dcterms:W3CDTF">2024-01-10T12:28:00Z</dcterms:created>
  <dcterms:modified xsi:type="dcterms:W3CDTF">2024-02-29T08:38:00Z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